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D6" w:rsidRDefault="007102D6">
      <w:pPr>
        <w:pStyle w:val="ConsPlusNormal"/>
        <w:outlineLvl w:val="0"/>
      </w:pPr>
      <w:r>
        <w:t>Зарегистрировано в Минюсте России 9 июня 2020 г. N 58613</w:t>
      </w:r>
    </w:p>
    <w:p w:rsidR="007102D6" w:rsidRDefault="007102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Title"/>
        <w:jc w:val="center"/>
      </w:pPr>
      <w:r>
        <w:t>МИНИСТЕРСТВО ТРАНСПОРТА РОССИЙСКОЙ ФЕДЕРАЦИИ</w:t>
      </w:r>
    </w:p>
    <w:p w:rsidR="007102D6" w:rsidRDefault="007102D6">
      <w:pPr>
        <w:pStyle w:val="ConsPlusTitle"/>
        <w:jc w:val="center"/>
      </w:pPr>
    </w:p>
    <w:p w:rsidR="007102D6" w:rsidRDefault="007102D6">
      <w:pPr>
        <w:pStyle w:val="ConsPlusTitle"/>
        <w:jc w:val="center"/>
      </w:pPr>
      <w:r>
        <w:t>ПРИКАЗ</w:t>
      </w:r>
      <w:r w:rsidR="0023301C">
        <w:t xml:space="preserve"> </w:t>
      </w:r>
      <w:bookmarkStart w:id="0" w:name="_GoBack"/>
      <w:bookmarkEnd w:id="0"/>
    </w:p>
    <w:p w:rsidR="007102D6" w:rsidRDefault="007102D6">
      <w:pPr>
        <w:pStyle w:val="ConsPlusTitle"/>
        <w:jc w:val="center"/>
      </w:pPr>
      <w:r>
        <w:t>от 8 апреля 2020 г. N 113</w:t>
      </w:r>
    </w:p>
    <w:p w:rsidR="007102D6" w:rsidRDefault="007102D6">
      <w:pPr>
        <w:pStyle w:val="ConsPlusTitle"/>
        <w:jc w:val="center"/>
      </w:pPr>
    </w:p>
    <w:p w:rsidR="007102D6" w:rsidRDefault="007102D6">
      <w:pPr>
        <w:pStyle w:val="ConsPlusTitle"/>
        <w:jc w:val="center"/>
      </w:pPr>
      <w:r>
        <w:t>ОБ УТВЕРЖДЕНИИ ПРАВИЛ</w:t>
      </w:r>
    </w:p>
    <w:p w:rsidR="007102D6" w:rsidRDefault="007102D6">
      <w:pPr>
        <w:pStyle w:val="ConsPlusTitle"/>
        <w:jc w:val="center"/>
      </w:pPr>
      <w:r>
        <w:t>СОДЕРЖАНИЯ СУДОВЫХ ХОДОВ И СУДОХОДНЫХ</w:t>
      </w:r>
    </w:p>
    <w:p w:rsidR="007102D6" w:rsidRDefault="007102D6">
      <w:pPr>
        <w:pStyle w:val="ConsPlusTitle"/>
        <w:jc w:val="center"/>
      </w:pPr>
      <w:r>
        <w:t>ГИДРОТЕХНИЧЕСКИХ СООРУЖЕНИЙ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 статьи 8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2016, N 27, ст. 4300), </w:t>
      </w:r>
      <w:hyperlink r:id="rId6" w:history="1">
        <w:r>
          <w:rPr>
            <w:color w:val="0000FF"/>
          </w:rPr>
          <w:t>подпунктом 5.2.11(3)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</w:t>
      </w:r>
      <w:proofErr w:type="gramEnd"/>
      <w:r>
        <w:t xml:space="preserve"> </w:t>
      </w:r>
      <w:proofErr w:type="gramStart"/>
      <w:r>
        <w:t>2013, N 5, ст. 388), приказываю: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содержания судовых ходов и судоходных гидротехнических сооружений.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right"/>
      </w:pPr>
      <w:r>
        <w:t>Министр</w:t>
      </w:r>
    </w:p>
    <w:p w:rsidR="007102D6" w:rsidRDefault="007102D6">
      <w:pPr>
        <w:pStyle w:val="ConsPlusNormal"/>
        <w:jc w:val="right"/>
      </w:pPr>
      <w:r>
        <w:t>Е.И.ДИТРИХ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right"/>
        <w:outlineLvl w:val="0"/>
      </w:pPr>
      <w:r>
        <w:t>Утверждены</w:t>
      </w:r>
    </w:p>
    <w:p w:rsidR="007102D6" w:rsidRDefault="007102D6">
      <w:pPr>
        <w:pStyle w:val="ConsPlusNormal"/>
        <w:jc w:val="right"/>
      </w:pPr>
      <w:r>
        <w:t>приказом Минтранса России</w:t>
      </w:r>
    </w:p>
    <w:p w:rsidR="007102D6" w:rsidRDefault="007102D6">
      <w:pPr>
        <w:pStyle w:val="ConsPlusNormal"/>
        <w:jc w:val="right"/>
      </w:pPr>
      <w:r>
        <w:t>от 8 апреля 2020 г. N 113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Title"/>
        <w:jc w:val="center"/>
      </w:pPr>
      <w:bookmarkStart w:id="1" w:name="P27"/>
      <w:bookmarkEnd w:id="1"/>
      <w:r>
        <w:t>ПРАВИЛА</w:t>
      </w:r>
    </w:p>
    <w:p w:rsidR="007102D6" w:rsidRDefault="007102D6">
      <w:pPr>
        <w:pStyle w:val="ConsPlusTitle"/>
        <w:jc w:val="center"/>
      </w:pPr>
      <w:r>
        <w:t>СОДЕРЖАНИЯ СУДОВЫХ ХОДОВ И СУДОХОДНЫХ</w:t>
      </w:r>
    </w:p>
    <w:p w:rsidR="007102D6" w:rsidRDefault="007102D6">
      <w:pPr>
        <w:pStyle w:val="ConsPlusTitle"/>
        <w:jc w:val="center"/>
      </w:pPr>
      <w:r>
        <w:t>ГИДРОТЕХНИЧЕСКИХ СООРУЖЕНИЙ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Title"/>
        <w:jc w:val="center"/>
        <w:outlineLvl w:val="1"/>
      </w:pPr>
      <w:r>
        <w:t>I. Общие положения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1. Настоящие Правила применяются на внутренних водных путях Российской Федерации (далее - внутренние водные пути).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Правила определяют порядок содержания судовых ходов и судоходных гидротехнических сооружений (далее - СГТС), в соответствии с которыми устанавливаются категории внутренних водных путей, определяющие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&lt;1&gt;.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2 статьи 7</w:t>
        </w:r>
      </w:hyperlink>
      <w:r>
        <w:t xml:space="preserve"> и </w:t>
      </w:r>
      <w:hyperlink r:id="rId8" w:history="1">
        <w:r>
          <w:rPr>
            <w:color w:val="0000FF"/>
          </w:rPr>
          <w:t>пункт 1 статьи 8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2016, N 11, N 27, ст. 4300).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3. Содержание судовых ходов и СГТС осуществляется в границах бассейнов внутренних водных путей администрацией соответствующего бассейна внутренних водных путей &lt;2&gt; (далее - администрация).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Минтранса России от 17 августа 2012 г. N 316 "Об определении бассейнов внутренних водных путей Российской Федерации" (зарегистрирован Минюстом России 13 сентября 2012 г., регистрационный N 25458) с изменениями, внесенными приказами Минтранса России от 24 марта 2014 г. N 82 (зарегистрирован Минюстом России 17 апреля 2014 г., регистрационный N 32012), от 18 мая 2015 г. N 176 (зарегистрирован</w:t>
      </w:r>
      <w:proofErr w:type="gramEnd"/>
      <w:r>
        <w:t xml:space="preserve"> </w:t>
      </w:r>
      <w:proofErr w:type="gramStart"/>
      <w:r>
        <w:t>Минюстом России 10 июня 2015 г., регистрационный N 37627), от 24 июля 2018 г. N 276 (зарегистрирован Минюстом России 13 августа 2018 г., регистрационный N 51874).</w:t>
      </w:r>
      <w:proofErr w:type="gramEnd"/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4. Для содержания судовых ходов на внутренних водных путях проводятся путевые </w:t>
      </w:r>
      <w:proofErr w:type="gramStart"/>
      <w:r>
        <w:t>работы</w:t>
      </w:r>
      <w:proofErr w:type="gramEnd"/>
      <w:r>
        <w:t xml:space="preserve"> и осуществляется навигационно-гидрографическое обеспечение условий плавания судов &lt;3&gt;.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&lt;3&gt;, &lt;4&gt; </w:t>
      </w:r>
      <w:hyperlink r:id="rId10" w:history="1">
        <w:r>
          <w:rPr>
            <w:color w:val="0000FF"/>
          </w:rPr>
          <w:t>Статья 8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2016, N 27, ст. 4300).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5. Работы по содержанию внутренних водных путей осуществляются без специальных разрешений и согласования </w:t>
      </w:r>
      <w:hyperlink w:anchor="P44" w:history="1">
        <w:r>
          <w:rPr>
            <w:color w:val="0000FF"/>
          </w:rPr>
          <w:t>&lt;4&gt;</w:t>
        </w:r>
      </w:hyperlink>
      <w:r>
        <w:t>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Title"/>
        <w:jc w:val="center"/>
        <w:outlineLvl w:val="1"/>
      </w:pPr>
      <w:r>
        <w:t>II. Категории внутренних водных путей, перечень судовых</w:t>
      </w:r>
    </w:p>
    <w:p w:rsidR="007102D6" w:rsidRDefault="007102D6">
      <w:pPr>
        <w:pStyle w:val="ConsPlusTitle"/>
        <w:jc w:val="center"/>
      </w:pPr>
      <w:r>
        <w:t>ходов, сроки работы средств навигационного оборудования</w:t>
      </w:r>
    </w:p>
    <w:p w:rsidR="007102D6" w:rsidRDefault="007102D6">
      <w:pPr>
        <w:pStyle w:val="ConsPlusTitle"/>
        <w:jc w:val="center"/>
      </w:pPr>
      <w:r>
        <w:t>и судоходных гидротехнических сооружений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6. Категории внутренних водных путей, определяющие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сооружений, устанавливаются </w:t>
      </w:r>
      <w:proofErr w:type="spellStart"/>
      <w:r>
        <w:t>Росморречфлотом</w:t>
      </w:r>
      <w:proofErr w:type="spellEnd"/>
      <w:r>
        <w:t xml:space="preserve"> &lt;5&gt; в соответствии с </w:t>
      </w:r>
      <w:hyperlink w:anchor="P5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53" w:history="1">
        <w:r>
          <w:rPr>
            <w:color w:val="0000FF"/>
          </w:rPr>
          <w:t>33</w:t>
        </w:r>
      </w:hyperlink>
      <w:r>
        <w:t xml:space="preserve"> настоящих Правил.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" w:history="1">
        <w:r>
          <w:rPr>
            <w:color w:val="0000FF"/>
          </w:rPr>
          <w:t>Пункт 2 статьи 7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2016, N 11, N 27, ст. 4300).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bookmarkStart w:id="3" w:name="P56"/>
      <w:bookmarkEnd w:id="3"/>
      <w:r>
        <w:t>7. По условиям обеспечения безопасности судоходства должны устанавливаться следующие категории внутренних водных путей: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1) водные пути с гарантированными габаритами и освещаемой обстановкой (далее - первая категория);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2) водные пути с гарантированными габаритами и светоотражающей обстановкой (далее - вторая категория);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3) водные пути с гарантированными габаритами и неосвещаемой обстановкой (далее - третья категория);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4) водные пути с освещаемой обстановкой без гарантированных габаритов (далее - четвертая категория);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5) водные пути со светоотражающей обстановкой без гарантированных габаритов (далее - пятая категория);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6) водные пути с неосвещаемой обстановкой без гарантированных габаритов (далее - шестая категория);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lastRenderedPageBreak/>
        <w:t>7) водные пути без навигационного ограждения и гарантированных габаритов (далее - седьмая категория) &lt;6&gt;.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Нормативы</w:t>
        </w:r>
      </w:hyperlink>
      <w:r>
        <w:t xml:space="preserve"> финансовых затрат на содержание внутренних водных путей и судоходных гидротехнических сооружений, утвержденные Постановлением Правительства Российской Федерации от 2 декабря 2014 г. N 1295 (Собрание законодательства Российской Федерации, 2014, N 50, ст. 7086).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8. При установлении категорий не допускается их качественное снижение ниже по течению, как по габаритам судовых ходов, так и по средствам навигационного оборудования.</w:t>
      </w:r>
    </w:p>
    <w:p w:rsidR="007102D6" w:rsidRDefault="007102D6">
      <w:pPr>
        <w:pStyle w:val="ConsPlusNormal"/>
        <w:spacing w:before="220"/>
        <w:ind w:firstLine="540"/>
        <w:jc w:val="both"/>
      </w:pPr>
      <w:bookmarkStart w:id="4" w:name="P68"/>
      <w:bookmarkEnd w:id="4"/>
      <w:r>
        <w:t>9. Гарантированные габариты судовых ходов &lt;7&gt; должны устанавливаться на участках внутренних водных путей, на которых возможно определение проектных уровней воды по гидрологическим (водомерным) постам при продолжительности навигации более 30 суток: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&lt;7&gt; ГОСТ 23903-79. "Государственный стандарт Союза ССР. Пути водные внутренние и их навигационное оборудование. Термины и определения" (принят и введен в действие постановлением Госстандарта СССР от 21 ноября 1979 г. N 4444; М. Издательство стандартов, 1980).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на судоходных каналах и (или) шлюзованных системах;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путей, по которым осуществляется судоходство между смежными бассейнами внутренних водных путей;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путей, через которые осуществляется выход во внутренние морские воды;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путей, по которым осуществляется перевозка пассажиров на социально значимых транспортных маршрутах;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путей, по которым осуществляется перевозка пассажиров на судах, следующих по расписанию;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путей, по которым обеспечивается завоз топливно-энергетических ресурсов, продовольственных товаров и продукции производственно-технического назначения, осуществляемый в рамках государственных закупок, в населенные пункты, расположенные в удаленных и труднодоступных регионах Российской Федерации;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путей, по которым осуществляется подход к речным портам, судостроительным и судоремонтным предприятиям, убежищам, укрытиям и пунктам отстоя флота;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путей, по которым осуществляется подход к причалам общего пользования;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путей, по которым осуществляется перевозка грузов при строительстве крупных промышленных объектов.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10. Участки внутренних водных путей, не указанные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настоящих Правил, содержатся без гарантированных габаритов судовых ходов.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11. Сформированный на основании перечня внутренних водных путей Российской Федерации &lt;8&gt; перечень судовых ходов должен актуализироваться ежегодно до начала навигационного периода.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lastRenderedPageBreak/>
        <w:t xml:space="preserve">&lt;8&gt;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декабря 2002 г. N 1800-р "Об утверждении перечня внутренних водных путей Российской Федерации" (Собрание законодательства Российской Федерации, 2002, N 51, ст. 5130; 2020, N 5, ст. 574).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В перечне судовых ходов указывается наименование внутреннего водного пути Российской Федерации, на котором расположен судовой ход, его верхняя и нижняя граница и протяженность в километрах, категории средств навигационного оборудования и сроки их работы.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12. Перечень судовых ходов на внутренних водных путях устанавливается в километрах:</w:t>
      </w:r>
    </w:p>
    <w:p w:rsidR="007102D6" w:rsidRDefault="007102D6">
      <w:pPr>
        <w:pStyle w:val="ConsPlusNormal"/>
        <w:spacing w:before="220"/>
        <w:ind w:firstLine="540"/>
        <w:jc w:val="both"/>
      </w:pPr>
      <w:proofErr w:type="gramStart"/>
      <w:r>
        <w:t xml:space="preserve">на реках Нева, Свирь, Шексна, Волга, Москва, Кама, Белая, Дон (ниже Цимлянского водохранилища), а также на Онежском и Ладожском озерах, Рыбинском, Горьковском, </w:t>
      </w:r>
      <w:proofErr w:type="spellStart"/>
      <w:r>
        <w:t>Иваньковском</w:t>
      </w:r>
      <w:proofErr w:type="spellEnd"/>
      <w:r>
        <w:t xml:space="preserve">, </w:t>
      </w:r>
      <w:proofErr w:type="spellStart"/>
      <w:r>
        <w:t>Угличском</w:t>
      </w:r>
      <w:proofErr w:type="spellEnd"/>
      <w:r>
        <w:t xml:space="preserve">, Чебоксарском, Куйбышевском, Саратовском, Волгоградском, Камском, </w:t>
      </w:r>
      <w:proofErr w:type="spellStart"/>
      <w:r>
        <w:t>Боткинском</w:t>
      </w:r>
      <w:proofErr w:type="spellEnd"/>
      <w:r>
        <w:t>, Нижнекамском и Цимлянском водохранилищах, на Беломорско-Балтийском, Волго-Балтийском, Волго-Донском судоходных каналах и на канале имени Москвы - от нулевого километра в точке с географическими координатами 55°41'40,4" северной широты и 37</w:t>
      </w:r>
      <w:proofErr w:type="gramEnd"/>
      <w:r>
        <w:t>°42'08,1" западной долготы;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остальных реках от их устья или от нижней границы, указанной в перечне внутренних водных путей Российской Федерации &lt;9&gt;;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декабря 2002 г. N 1800-р "Об утверждении перечня внутренних водных путей Российской Федерации" (Собрание законодательства Российской Федерации, 2002, N 51, ст. 5130; 2020, N 5, ст. 574).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на озере Байкал и на реке Ангара до Усть-Илимского гидроузла от Иркутского гидроузла;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дополнительных судовых ходах, подходах к портам, причалам, убежищам от точки пересечения с основным судовым ходом.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13. На внутренних водных путях со свободным течением </w:t>
      </w:r>
      <w:proofErr w:type="gramStart"/>
      <w:r>
        <w:t>воды</w:t>
      </w:r>
      <w:proofErr w:type="gramEnd"/>
      <w:r>
        <w:t xml:space="preserve"> установленные габариты судовых ходов не должны ухудшать гидрологический режим &lt;10&gt; поверхностных водных объектов.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5" w:history="1">
        <w:r>
          <w:rPr>
            <w:color w:val="0000FF"/>
          </w:rPr>
          <w:t>ГОСТ 19179-73</w:t>
        </w:r>
      </w:hyperlink>
      <w:r>
        <w:t>. "Государственный стандарт Союза ССР. Гидрология суши. Термины и определения" (принят и введен в действие постановлением Госстандарта СССР от 29 декабря 1973 г. N 2394; М. Издательство стандартов, 1988).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14. На внутренних водных путях устанавливаются следующие гарантированные габариты судовых ходов, измеряемые в метрах: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глубина;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ширина;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радиус закругления.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15. Гарантированная глубина судового хода устанавливается по всей ширине судового хода с учетом осадки эксплуатируемых и (или) планируемых к эксплуатации судов на участках внутренних водных путей, а также минимальных запасов по глубине (минимальных запасов воды под днищем судна)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плавания по внутренним водным путям Российской Федерации &lt;11&gt;.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Минтранса России от 19 января 2018 г. N 19 "Об утверждении Правил плавания судов по внутренним водным путям" (зарегистрирован Минюстом России 7 марта 2018 г., регистрационный N 50283) с изменениями, внесенными приказом Минтранса России от 11 февраля 2019 г. N 50 (зарегистрирован Минюстом России 28 мая 2019 г., регистрационный N 54757).</w:t>
      </w:r>
      <w:proofErr w:type="gramEnd"/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16. Гарантированная ширина судового хода с установленной гарантированной глубиной при одностороннем движении судов (составов) определяется с учетом максимальной ширины и </w:t>
      </w:r>
      <w:proofErr w:type="gramStart"/>
      <w:r>
        <w:t>длины</w:t>
      </w:r>
      <w:proofErr w:type="gramEnd"/>
      <w:r>
        <w:t xml:space="preserve"> эксплуатируемых на участке судов, при их наибольшей осадке, или плотов, а также бокового воздействия ветра и течения, с учетом безопасного расстояния между судами (составами) и кромками судового хода, кривизны русла и радиуса закругления судового хода.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При двухстороннем движении судов гарантированная ширина судового хода увеличивается в два раза с учетом безопасного расстояния между расходящимися судами (плотами).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17. Радиус закругления должен быть определен по оси судового хода.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Радиус закругления на участках внутренних водных путей, по которым осуществляется движение толкаемых составов, должен составлять не менее трех длин этих составов.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Радиус закругления на участках внутренних водных путей, по которым осуществляется буксировка объектов на буксирном тросе, должен составлять не менее пяти длин этих буксирных составов.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18. На судоходных каналах габариты судовых ходов устанавливаются в соответствии с проектной документацией этих каналов.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19. Гарантированные габариты судовых ходов на внутренних водных путях арктических рек должны устанавливаться до и после проведения дноуглубительных работ.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20. Габариты судового хода к портам и причалам должны соответствовать </w:t>
      </w:r>
      <w:proofErr w:type="spellStart"/>
      <w:r>
        <w:t>размерениям</w:t>
      </w:r>
      <w:proofErr w:type="spellEnd"/>
      <w:r>
        <w:t xml:space="preserve"> судов, указанным в паспорте сооружения, и обеспечивать безопасный подход и отход судов, а также безопасность их стоянки.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21. На озерах </w:t>
      </w:r>
      <w:proofErr w:type="gramStart"/>
      <w:r>
        <w:t>Онежское</w:t>
      </w:r>
      <w:proofErr w:type="gramEnd"/>
      <w:r>
        <w:t xml:space="preserve">, Ладожское, Байкал, в </w:t>
      </w:r>
      <w:proofErr w:type="spellStart"/>
      <w:r>
        <w:t>Куршском</w:t>
      </w:r>
      <w:proofErr w:type="spellEnd"/>
      <w:r>
        <w:t xml:space="preserve"> заливе и Обско-</w:t>
      </w:r>
      <w:proofErr w:type="spellStart"/>
      <w:r>
        <w:t>Тазовской</w:t>
      </w:r>
      <w:proofErr w:type="spellEnd"/>
      <w:r>
        <w:t xml:space="preserve"> губе устанавливаются судоходные трассы с указанием минимальных глубин по ним.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22. Гарантированные габариты судовых ходов устанавливаются от проектных уровней воды по опорным гидрологическим (водомерным) постам (далее - проектные уровни воды) &lt;12&gt; в Балтийской системе высот 1977 года &lt;13&gt;.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8" w:history="1">
        <w:r>
          <w:rPr>
            <w:color w:val="0000FF"/>
          </w:rPr>
          <w:t>ГОСТ 19179-73</w:t>
        </w:r>
      </w:hyperlink>
      <w:r>
        <w:t>. "Государственный стандарт Союза ССР. Гидрология суши. Термины и определения" (принят и введен в действие постановлением Госстандарта СССР от 29 декабря 1973 г. N 2394; М. Издательство стандартов, 1988).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2016 г. N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N 49, ст. 6907).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23. На водохранилищах и судоходных каналах (зарегулированные участки внутренних водных путей) проектный уровень воды устанавливается в соответствии с минимальным навигационным уровнем воды, определенным правилами использования водохранилищ &lt;14&gt;.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апреля 2009 г. N 349 "Об </w:t>
      </w:r>
      <w:r>
        <w:lastRenderedPageBreak/>
        <w:t>утверждении Положения о разработке, согласовании и утверждении правил использования водохранилищ, в том числе типовых правил использования водохранилищ" (Собрание законодательства Российской Федерации, 2009, N 18, ст. 2247).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24. В зоне переменного подпора водохранилища проектный уровень воды определяется по заданной обеспеченности &lt;15&gt; до границы с участком, на котором отметка проектного уровня воды совпадает с отметкой уровня навигационной </w:t>
      </w:r>
      <w:proofErr w:type="spellStart"/>
      <w:r>
        <w:t>сработки</w:t>
      </w:r>
      <w:proofErr w:type="spellEnd"/>
      <w:r>
        <w:t>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апреля 2009 г. N 349 "Об утверждении Положения о разработке, согласовании и утверждении правил использования водохранилищ, в том числе типовых правил использования водохранилищ" (Собрание законодательства Российской Федерации, 2009, N 18, ст. 2247).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25. </w:t>
      </w:r>
      <w:proofErr w:type="gramStart"/>
      <w:r>
        <w:t>В нижнем бьефе гидроузлов за проектный уровень воды принимается минимальный из низших суточных уровней по данным мониторинга Росгидромета &lt;16&gt; за уровнями воды на водомерных постах (за последние пятнадцать лет), расположенных в зоне влияния суточного регулирования.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2" w:history="1">
        <w:r>
          <w:rPr>
            <w:color w:val="0000FF"/>
          </w:rPr>
          <w:t>Подпункт 5.4.5 пункта 5</w:t>
        </w:r>
      </w:hyperlink>
      <w:r>
        <w:t xml:space="preserve"> Положения о Федеральной службе по гидрометеорологии и мониторингу окружающей среды, утвержденного постановлением Правительства Российской Федерации от 23 июля 2004 г. N 372 (Собрание законодательства Российской Федерации, 2004, N 31, ст. 3262; 2008, N 22, ст. 2581).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26. На участках внутренних водных путей со свободным течением воды за проектный уровень воды принимается условный низкий уровень воды с заданной обеспеченностью.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27. Гарантированные глубины судовых ходов на устьевых участках внутренних водных путей устанавливаются от нулевой отметки моря без учета ветровых сгонно-нагонных и приливно-отливных явлений.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28. На участках внутренних водных путей, исходя из средней интенсивности судоходства на участке внутреннего водного пути за навигацию предшествующего периода, устанавливаются следующие средства навигационного оборудования: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освещаемая обстановка;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светоотражающая обстановка;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неосвещаемая обстановка.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29. Освещаемые средства навигационного оборудования устанавливаются:</w:t>
      </w:r>
    </w:p>
    <w:p w:rsidR="007102D6" w:rsidRDefault="007102D6">
      <w:pPr>
        <w:pStyle w:val="ConsPlusNormal"/>
        <w:spacing w:before="220"/>
        <w:ind w:firstLine="540"/>
        <w:jc w:val="both"/>
      </w:pPr>
      <w:proofErr w:type="gramStart"/>
      <w:r>
        <w:t>на участках внутренних водных путей, по которым в сутки проходит в обоих направлениях 10 и более судов (составов), в том числе 6 и более судов в темное время суток, и (или) осуществляется регулярное движение пассажирских судов, следующих по расписанию или по которым проходят маршруты перевозок пассажиров в темное время суток продолжительностью более чем 24 часа;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 (от устья до первого пункта погрузки (выгрузки) грузов), по которым обеспечивается завоз для муниципальных нужд, включенных в перечень товаров и услуг, централизованные поставки и оказание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lastRenderedPageBreak/>
        <w:t>с ограниченными сроками завоза грузов (продукции).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30. Светоотражающая навигационная обстановка должна устанавливаться на участках внутренних водных путей, по которым в сутки проходит в обоих направлениях более 10 судов (составов), а в темное время суток проходит в обоих направлениях не более 5 судов (составов).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31. Неосвещаемая навигационная обстановка должна устанавливаться на участках внутренних водных путей, по которым в сутки проходит в обоих направлениях менее 10 судов (составов).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Сроки работы средств навигационного оборудования на участках внутреннего водного пути (далее - навигационный период), а также на подходах к причалам общего пользования должны устанавливаться по среднестатистическим датам льдообразования и очищения внутренних водных путей ото льда за последние пятнадцать лет с учетом времени проведения траления судового хода и постановки всех плавучих средств навигационного оборудования.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r>
        <w:t>Дата начала и окончания работы средств навигационного оборудования уточняется в соответствии с прогнозом погоды, организацию составления которого осуществляет Росгидромет &lt;17&gt;.</w:t>
      </w:r>
    </w:p>
    <w:p w:rsidR="007102D6" w:rsidRDefault="007102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7102D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D6" w:rsidRDefault="007102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D6" w:rsidRDefault="007102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02D6" w:rsidRDefault="007102D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102D6" w:rsidRDefault="007102D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постановление Правительства РФ N 372 от 23.07.2004, а не от 23.04.2004.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D6" w:rsidRDefault="007102D6">
            <w:pPr>
              <w:spacing w:after="1" w:line="0" w:lineRule="atLeast"/>
            </w:pPr>
          </w:p>
        </w:tc>
      </w:tr>
    </w:tbl>
    <w:p w:rsidR="007102D6" w:rsidRDefault="007102D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23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23 апреля 2004 г. N 372 "О Федеральной службе по гидрометеорологии и мониторингу окружающей среды" (Собрание законодательства Российской Федерации, 2004, N 31, ст. 3262; 2018, N 37, ст. 5763).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proofErr w:type="gramStart"/>
      <w:r>
        <w:t xml:space="preserve">На </w:t>
      </w:r>
      <w:proofErr w:type="spellStart"/>
      <w:r>
        <w:t>быстромелеющих</w:t>
      </w:r>
      <w:proofErr w:type="spellEnd"/>
      <w:r>
        <w:t xml:space="preserve"> реках сроки работы средств навигационной обстановки устанавливаются в соответствии с определенными за последние пятнадцать лет датами наступления минимальных меженных уровней воды, при которых фактические глубины на судовом ходу становятся менее осадки эксплуатируемых судов с учетом минимальных запасов по глубине.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bookmarkStart w:id="5" w:name="P153"/>
      <w:bookmarkEnd w:id="5"/>
      <w:r>
        <w:t>33. Сроки работы судоходных гидротехнических сооружений устанавливаются с учетом сроков работы средств навигационного оборудования в бассейне внутренних водных путей, а также с учетом сроков работы СГТС.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Title"/>
        <w:jc w:val="center"/>
        <w:outlineLvl w:val="1"/>
      </w:pPr>
      <w:r>
        <w:t>III. Содержание судовых ходов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34. Содержание судовых ходов должно обеспечивать безопасность судоходства. Работы по содержанию судовых ходов осуществляют администрации в соответствии с установленной категорией внутренних водных путей: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 первой, второй и третьей категорий проводятся все виды путевых работ, работы по навигационно-гидрографическому обеспечению условий плавания судов;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 четвертой, пятой и шестой категорий проводятся тральные, дноочистительные, изыскательские работы, а также работы по навигационно-гидрографическому обеспечению условий плавания судов;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 внутренних водных путей седьмой категории проводятся изыскательские работы.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35. На внутренних водных путях для содержания судовых ходов администрации проводят путевые работы, в том числе дноуглубительные, </w:t>
      </w:r>
      <w:proofErr w:type="spellStart"/>
      <w:r>
        <w:t>выправительные</w:t>
      </w:r>
      <w:proofErr w:type="spellEnd"/>
      <w:r>
        <w:t>, тральные, дноочистительные, изыскательские и другие работы, проводимые на внутренних водных путях для содержания судовых ходов &lt;18&gt;.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4" w:history="1">
        <w:r>
          <w:rPr>
            <w:color w:val="0000FF"/>
          </w:rPr>
          <w:t>Статья 3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2019, N 31, ст. 4453).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36. Путевые работы выполняет администрация соответствующего бассейна внутренних водных путей.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37. Дноуглубительные работы должны выполняться в целях углубления, расширения, создания, спрямления судовых ходов, корректировки местоположения судовых ходов со складированием извлекаемого грунта в русле реки и (или) на береговой полосе.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38. Для обеспечения гарантированных габаритов судовых ходов в течение навигации проводятся дноуглубительные работы (далее - эксплуатационные дноуглубительные работы).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При создании нового судового хода дноуглубительные работы проводятся на основании проектов производства дноуглубительных работ (далее - капитальные дноуглубительные работы).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39. Эксплуатационные дноуглубительные работы проводятся на судоходных каналах, подходных каналах судоходных шлюзов, а также на тех участках судовых ходов, где в результате сезонных изменений реки глубина и (или) ширина на судовом ходу и (или) радиус закругления судового хода меньше гарантированных по результатам изыскательских работ.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40. </w:t>
      </w:r>
      <w:proofErr w:type="spellStart"/>
      <w:r>
        <w:t>Выправительные</w:t>
      </w:r>
      <w:proofErr w:type="spellEnd"/>
      <w:r>
        <w:t xml:space="preserve"> работы должны выполняться в целях возведения струенаправляющих и отклоняющих дамб &lt;19&gt;, запруд, полузапруд, а также подводных сооружений, созданных в результате проведения дноуглубительных работ.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 (зарегистрирован Минюстом России 30 мая 2016 г., регистрационный N 42345).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41. С целью обеспечения устойчивого местоположения судового хода, защиты берега от волновых воздействий при прохождении судов по судовому ходу возводятся струенаправляющие, отклоняющие сооружения, запруды, полузапруды, а также подводные сооружения, созданные в результате проведения дноуглубительных работ (далее - </w:t>
      </w:r>
      <w:proofErr w:type="spellStart"/>
      <w:r>
        <w:t>выправительные</w:t>
      </w:r>
      <w:proofErr w:type="spellEnd"/>
      <w:r>
        <w:t xml:space="preserve"> сооружения).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42. На каждое </w:t>
      </w:r>
      <w:proofErr w:type="spellStart"/>
      <w:r>
        <w:t>выправительное</w:t>
      </w:r>
      <w:proofErr w:type="spellEnd"/>
      <w:r>
        <w:t xml:space="preserve"> сооружение администрации соответствующих бассейнов оформляют паспорт сооружения.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43. Администрация осуществляет систематическое наблюдение за техническим состоянием </w:t>
      </w:r>
      <w:proofErr w:type="spellStart"/>
      <w:r>
        <w:t>выправительных</w:t>
      </w:r>
      <w:proofErr w:type="spellEnd"/>
      <w:r>
        <w:t xml:space="preserve"> сооружений в течение навигации и ежегодно, после прохождения весеннего половодья, определяет их текущее состояние, эффективность действия сооружений, состав и объемы необходимых работ по их текущему и капитальному ремонту.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44. Дноочистительные работы должны выполняться в целях очистки судового хода и примыкающей к нему части русла от предметов, представляющих опасность для судоходства.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45. На основании результатов траления и промеров глубин проводятся дноочистительные работы.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46. Тральные работы должны выполняться в целях проверки чистоты и габаритов судовых ходов, обнаружения подводных препятствий, представляющих опасность для судов и подлежащих ограждению и удалению.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47. Траление и промеры глубин на судовом ходу должны проводиться в соответствии с требованиями </w:t>
      </w:r>
      <w:r>
        <w:lastRenderedPageBreak/>
        <w:t>технического регламента о безопасности объектов внутреннего водного транспорта &lt;20&gt;.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(Собрание законодательства Российской Федерации, 2010, N 34, ст. 4476; 2018, N 23, ст. 3295).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48. </w:t>
      </w:r>
      <w:proofErr w:type="gramStart"/>
      <w:r>
        <w:t>Проверка чистоты (обнаружение подводных препятствий, представляющих опасность для судов и подлежащих ограждению и удалению) судовых ходов, подходов к причалам, подходных каналов судоходных шлюзов и камер шлюзов в донной части и в районе порога, участков в районе ворот и швартовых рымов, а также по всей полезной ширине и длине камер шлюза должна обеспечиваться путем их регулярного траления.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49. Администрации должны обеспечивать ежесуточное фиксирование данных о фактических габаритах судовых ходов и оперативное устранение выявленных отклонений </w:t>
      </w:r>
      <w:proofErr w:type="gramStart"/>
      <w:r>
        <w:t>от</w:t>
      </w:r>
      <w:proofErr w:type="gramEnd"/>
      <w:r>
        <w:t xml:space="preserve"> гарантированных.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50. Траление по всей ширине судового хода с запасом в обе стороны от кромок судового хода (далее - сплошное траление), за исключением плесовых участков, должно проводиться: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перед установкой средств навигационного оборудования;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после окончания ледохода на реках и каналах, где в начале навигации нет паводка;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после очищения судовых ходов ото льда - в озерной части водохранилищ;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после спада паводка и окончания ледохода на реках, в речной и озерно-речной частях водохранилищ, где есть паводок.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Сплошное траление не проводится после спада паводка и установления глубин, в 1,5 раза превышающих наибольшую осадку судов.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51. Между сплошными тралениями проводятся локальные тральные работы на всех перекатах, порогах, подходах к причалам и на участках, где имеется сильный размыв берегов, а также на участках, где происходит засорение судового хода такелажем, бревнами и другими предметами (далее - местное траление).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52. Дополнительно местное траление производится после окончания дноуглубительных и дноочистительных работ.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53. В случаях потери судами и (или) плавучими объектами якоря, лота, винта или другого предмета, представляющего угрозу для судоходства, а также в случае транспортного происшествия с судном или другим плавучим объектом на участке судового хода выполняется аварийное траление.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54. При не обнаружении утерянного на судовом ходу предмета, представляющего опасность для судоходства, аварийное траление проводится на гарантированную глубину: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перекатах - в границах судового хода, обозначенных плавучими средствами навигационного оборудования;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 участках, где кромки судового хода не обозначены плавучими средствами навигационного оборудования или ограждена только одна кромка: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1) на судовых ходах с гарантированной глубиной 2,5 м и более - в полосе, равной тройной гарантированной ширине;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2) на судовых ходах с гарантированными глубинами от 1,5 до 2,5 метра - в полосе, равной двойной </w:t>
      </w:r>
      <w:r>
        <w:lastRenderedPageBreak/>
        <w:t>гарантированной ширине;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3) на судовых ходах с гарантированными глубинами от 0,7 до 1,5 метра - в полосе, равной полуторной гарантированной ширине;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4) на судовых ходах с гарантированными глубинами менее 0,7 м - в полосе, равной ширине судового хода.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55. Обнаруженное в процессе траления подводное препятствие должно извлекаться либо ограждаться соответствующими средствами навигационного оборудования для последующего извлечения после окончания траления.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56. При проведении изыскательских работ выполняются промеры глубин и съемка береговой полосы (далее - русловая съемка), геодезические и топографические работы, а также проводятся работы по изучению и анализу изменения гидрологического режима и русловых переформирований (далее - гидрологические работы).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57. Изыскательские работы выполняются администрациями в целях: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обследования состояния судового хода в начале навигации для выявления участков с габаритами, которые не соответствуют </w:t>
      </w:r>
      <w:proofErr w:type="gramStart"/>
      <w:r>
        <w:t>гарантированным</w:t>
      </w:r>
      <w:proofErr w:type="gramEnd"/>
      <w:r>
        <w:t>, и определения очередности проведения путевых работ;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проектирования, планирования и определения объемов выполненных путевых работ, а также их эффективности (первичные, повторные и контрольные русловые съемки с промерами глубин);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создания и поддержания в исправном состоянии постоянной планово-высотной опорной сети (геодезические, топографические, гидрологические и гидрографические работы);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составления схем дноуглубительных прорезей, планов </w:t>
      </w:r>
      <w:proofErr w:type="spellStart"/>
      <w:r>
        <w:t>выправительных</w:t>
      </w:r>
      <w:proofErr w:type="spellEnd"/>
      <w:r>
        <w:t xml:space="preserve"> сооружений, детальных планов перекатов, продольных профилей свободной поверхности воды, схем судовых ходов, альбомов планов участков водных путей и карт внутренних водных путей (полевые и камеральные работы).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58. Состав, объемы и периодичность изыскательских работ на внутренних водных путях должны обеспечивать безопасность судоходства и выявлять необходимость проведения и объемы других видов путевых работ.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59. Русловые съемки проводятся администрациями: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после прохождения весеннего паводка (первичная русловая съемка);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после проведения дноуглубительных или </w:t>
      </w:r>
      <w:proofErr w:type="spellStart"/>
      <w:r>
        <w:t>выправительных</w:t>
      </w:r>
      <w:proofErr w:type="spellEnd"/>
      <w:r>
        <w:t xml:space="preserve"> работ (контрольная русловая съемка);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при изменении положения судового хода или его части, а также при необходимости дополнительного контроля устойчивости судового хода (повторная русловая съемка).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60. В состав гидрологических работ входят: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наблюдение за колебаниями уровней воды с обустройством гидрологических (водомерных) постов;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наблюдение за направлением струй и скоростями течения;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определение расходов воды;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изучение гранулометрического состава русловых наносов;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определение уклонов водной поверхности;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определение стоков руслоформирующих наносов и отложений.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lastRenderedPageBreak/>
        <w:t xml:space="preserve">61. На участках судовых ходов, где ограничены гарантированные габариты судовых ходов, для обеспечения </w:t>
      </w:r>
      <w:proofErr w:type="gramStart"/>
      <w:r>
        <w:t>контроля за</w:t>
      </w:r>
      <w:proofErr w:type="gramEnd"/>
      <w:r>
        <w:t xml:space="preserve"> фактическими глубинами администрациями устанавливаются временные </w:t>
      </w:r>
      <w:proofErr w:type="spellStart"/>
      <w:r>
        <w:t>уровенные</w:t>
      </w:r>
      <w:proofErr w:type="spellEnd"/>
      <w:r>
        <w:t xml:space="preserve"> посты.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Показания фактических уровней воды по временным </w:t>
      </w:r>
      <w:proofErr w:type="spellStart"/>
      <w:r>
        <w:t>уровенным</w:t>
      </w:r>
      <w:proofErr w:type="spellEnd"/>
      <w:r>
        <w:t xml:space="preserve"> постам снимаются ежесуточно в восемь часов утра местного времени, начиная </w:t>
      </w:r>
      <w:proofErr w:type="gramStart"/>
      <w:r>
        <w:t>с даты очищения</w:t>
      </w:r>
      <w:proofErr w:type="gramEnd"/>
      <w:r>
        <w:t xml:space="preserve"> судового хода ото льда до наступления ледостава, а также в начале и конце промеров глубин, и при выполнении гидрологических исследований. В периоды резкого снижения или подъема уровней воды на судовых ходах (более 0,1 м в сутки) фактические уровни воды определяются не менее трех раз в сутки через одинаковые интервалы времени.</w:t>
      </w:r>
    </w:p>
    <w:p w:rsidR="007102D6" w:rsidRDefault="007102D6">
      <w:pPr>
        <w:pStyle w:val="ConsPlusNormal"/>
        <w:spacing w:before="220"/>
        <w:ind w:firstLine="540"/>
        <w:jc w:val="both"/>
      </w:pPr>
      <w:bookmarkStart w:id="6" w:name="P223"/>
      <w:bookmarkEnd w:id="6"/>
      <w:r>
        <w:t xml:space="preserve">62. Рекомендуемый состав выполняемых на внутренних водных путях изыскательских работ приведен в </w:t>
      </w:r>
      <w:hyperlink w:anchor="P356" w:history="1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Title"/>
        <w:jc w:val="center"/>
        <w:outlineLvl w:val="1"/>
      </w:pPr>
      <w:r>
        <w:t>IV. Навигационно-гидрографическое обеспечение</w:t>
      </w:r>
    </w:p>
    <w:p w:rsidR="007102D6" w:rsidRDefault="007102D6">
      <w:pPr>
        <w:pStyle w:val="ConsPlusTitle"/>
        <w:jc w:val="center"/>
      </w:pPr>
      <w:r>
        <w:t>условий плавания судов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63. Навигационно-гидрографическое обеспечение условий плавания судов включает комплекс мероприятий по обеспечению внутренних водных путей навигационной обстановкой, включающих в себя оборудование внутренних водных путей аппаратурой систем навигации и связи, средствами навигационного оборудования, световыми и звуковыми сигнальными средствами, а также по обеспечению судов информацией о навигационных и гидрометеорологических условиях плавания судов &lt;21&gt;.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27" w:history="1">
        <w:r>
          <w:rPr>
            <w:color w:val="0000FF"/>
          </w:rPr>
          <w:t>Статья 3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2019, N 31, ст. 4453).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64. Обозначение на местности судовых ходов береговыми и плавучими средствами навигационного оборудования, обеспечение бесперебойной работы и контроль их состояния осуществляют администрации.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65. Владельцы сооружений на внутренних водных путях обязаны за свой счет устанавливать навигационные огни и знаки, другое оборудование и обеспечивать их действие в целях безопасности судоходства в соответствии с обязательными требованиями, установленными в соответствии с законодательством Российской Федерации, по согласованию с администрациями &lt;22&gt;.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28" w:history="1">
        <w:r>
          <w:rPr>
            <w:color w:val="0000FF"/>
          </w:rPr>
          <w:t>Пункт 2 статьи 9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2012, N 31, ст. 4320).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66. Навигационная обстановка внутренних водных путей должна обеспечивать безопасное и беспрепятственное плавание судов и сохранность гидротехнических сооружений &lt;23&gt;.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(Собрание законодательства Российской Федерации, 2010, N 34, ст. 4476; 2018, N 23, ст. 3295).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67. При строительстве, реконструкции, ремонте, добыче общераспространенных полезных ископаемых и выполнении других работ на внутренних водных путях должны быть установлены средства навигационного оборудования, обеспечивающие безопасные условия плавания судов &lt;24&gt;.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&lt;24&gt;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Минтранса России от 19 января 2018 г. N 19 "Об утверждении Правил плавания судов по внутренним водным путям" (зарегистрирован Минюстом России 7 марта 2018 г., регистрационный N 50283) с изменениями, внесенными приказом Минтранса России от 11 февраля 2019 г. N 50 (зарегистрирован Минюстом России 28 мая 2019 г., регистрационный N 54757).</w:t>
      </w:r>
      <w:proofErr w:type="gramEnd"/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68. Содержание средств навигационного оборудования включает: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постановку и снятие средств навигационного оборудования на судовых ходах, подходах к портам общего пользования, рейдах портов общего пользования в сроки, предусмотренные </w:t>
      </w:r>
      <w:hyperlink w:anchor="P153" w:history="1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обслуживание, ремонт, хранение и обеспечение бесперебойного действия береговых и плавучих средств навигационного оборудования;</w:t>
      </w:r>
    </w:p>
    <w:p w:rsidR="007102D6" w:rsidRDefault="007102D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функционированием и состоянием береговых и плавучих средств навигационного оборудования, в том числе с использованием дистанционного мониторинга, осуществляемого в режиме реального времени;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рубку (очистку) произрастающих на береговой полосе деревьев и кустарников, скашивание растительности для обеспечения видимости средств навигационного оборудования, расположенных на берегу.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69. Местоположение средств навигационного оборудования на каждый участок внутренних водных путей ежегодно, до начала навигационного периода, устанавливается (корректируется) администрациями соответствующего бассейна.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Информация о местоположении средств навигационного оборудования </w:t>
      </w:r>
      <w:proofErr w:type="gramStart"/>
      <w:r>
        <w:t>и о ее</w:t>
      </w:r>
      <w:proofErr w:type="gramEnd"/>
      <w:r>
        <w:t xml:space="preserve"> изменении размещается на официальных сайтах администраций в информационно-телекоммуникационной сети "Интернет", а также в электронных навигационных картах.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70. Местоположение средств навигационного оборудования в соответствии с категорией внутреннего водного пути должно обеспечить возможность безопасного, непрерывного и беспрепятственного движения судов на всем протяжении водного пути в течение всего навигационного периода.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71. Местоположение средств навигационного оборудования должно корректироваться в случае изменения положения судового хода и (или) изменения уровня воды.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Местоположение средств навигационного оборудования корректируется на основании промеров глубин.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72. В случае наступления раннего льдообразования датой окончания работы средств навигационного оборудования является дата фактического начала снятия плавучих средств навигационного оборудования.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В случае снижения уровня воды и невозможности обеспечить гарантированную ширину судового хода при установленной глубине, администрация соответствующего бассейна, по согласованию с </w:t>
      </w:r>
      <w:proofErr w:type="spellStart"/>
      <w:r>
        <w:t>Росморречфлотом</w:t>
      </w:r>
      <w:proofErr w:type="spellEnd"/>
      <w:r>
        <w:t xml:space="preserve"> &lt;25&gt;, осуществляет перестановку средств навигационного оборудования для сужения судового хода и обеспечения одностороннего движения судов.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31" w:history="1">
        <w:r>
          <w:rPr>
            <w:color w:val="0000FF"/>
          </w:rPr>
          <w:t>Пункт 2 статьи 7</w:t>
        </w:r>
      </w:hyperlink>
      <w:r>
        <w:t xml:space="preserve"> и </w:t>
      </w:r>
      <w:hyperlink r:id="rId32" w:history="1">
        <w:r>
          <w:rPr>
            <w:color w:val="0000FF"/>
          </w:rPr>
          <w:t>пункт 1 статьи 8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2016, N 11, N 27, ст. 4300).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74. Информация о навигационных и гидрометеорологических условиях плавания судов размещается в информационно-телекоммуникационной сети "Интернет" на официальном сайте администрации, а также </w:t>
      </w:r>
      <w:r>
        <w:lastRenderedPageBreak/>
        <w:t>посредством ежедневной передачи сообщений с использованием системы диспетчерского регулирования движения судов на внутренних водных путях Российской Федерации &lt;26&gt;.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Минтранса России от 1 марта 2010 г. N 47 "Об утверждении Порядка диспетчерского регулирования движения судов на внутренних водных путях Российской Федерации" (зарегистрирован Минюстом России 26 апреля 2010 г., регистрационный N 17010).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Title"/>
        <w:jc w:val="center"/>
        <w:outlineLvl w:val="1"/>
      </w:pPr>
      <w:r>
        <w:t>V. Содержание судоходных гидротехнических сооружений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75. Содержание СГТС включает мероприятия по эксплуатации, текущему и капитальному ремонту, консервации и ликвидации, техническому обслуживанию и контролю (мониторингу) за показателями состояния СГТС в процессе эксплуатации, страхованию гражданской ответственности &lt;27&gt;, декларированию безопасности СГТС &lt;28&gt;.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bookmarkStart w:id="7" w:name="P268"/>
      <w:bookmarkEnd w:id="7"/>
      <w:r>
        <w:t xml:space="preserve">&lt;27&gt;, &lt;28&gt;, &lt;29&gt; </w:t>
      </w:r>
      <w:hyperlink r:id="rId34" w:history="1">
        <w:r>
          <w:rPr>
            <w:color w:val="0000FF"/>
          </w:rPr>
          <w:t>Статьи 9</w:t>
        </w:r>
      </w:hyperlink>
      <w:r>
        <w:t xml:space="preserve"> и </w:t>
      </w:r>
      <w:hyperlink r:id="rId35" w:history="1">
        <w:r>
          <w:rPr>
            <w:color w:val="0000FF"/>
          </w:rPr>
          <w:t>10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3589; 2016, N 27, ст. 4188; 2018; N 31, ст. 4860).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76. Эксплуатирующие организации обязаны 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 </w:t>
      </w:r>
      <w:hyperlink w:anchor="P268" w:history="1">
        <w:r>
          <w:rPr>
            <w:color w:val="0000FF"/>
          </w:rPr>
          <w:t>&lt;29&gt;</w:t>
        </w:r>
      </w:hyperlink>
      <w:r>
        <w:t>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77. Эксплуатирующая организация обеспечивает непрерывность эксплуатации гидротехнических сооружений.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78. Эксплуатирующие организации обязаны создать финансовые и материальные резервы, предназначенные для ликвидации аварии гидротехнического сооружения &lt;30&gt;.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 (Собрание законодательства Российской Федерации, 1996, N 47, ст. 5334).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79. </w:t>
      </w:r>
      <w:proofErr w:type="gramStart"/>
      <w:r>
        <w:t xml:space="preserve">Эксплуатирующие организации обеспечивают разработку и корректировку правил эксплуатации СГТС и их согласование с </w:t>
      </w:r>
      <w:proofErr w:type="spellStart"/>
      <w:r>
        <w:t>Ространснадзором</w:t>
      </w:r>
      <w:proofErr w:type="spellEnd"/>
      <w:r>
        <w:t>, а также контроль технического состояния СГТС,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</w:t>
      </w:r>
      <w:proofErr w:type="gramEnd"/>
      <w:r>
        <w:t xml:space="preserve">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 ниже и выше гидротехнического сооружения &lt;31&gt;.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37" w:history="1">
        <w:r>
          <w:rPr>
            <w:color w:val="0000FF"/>
          </w:rPr>
          <w:t>Статья 9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3589; 2018, N 31, ст. 4860).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80. Эксплуатирующие организации организовывают эксплуатацию гидротехнического сооружения в соответствии с правилами эксплуатации гидротехнического сооружения и обеспечивают соответствующую </w:t>
      </w:r>
      <w:r>
        <w:lastRenderedPageBreak/>
        <w:t>нормам и правилам квалификацию работников эксплуатирующей организации &lt;32&gt;.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&lt;32&gt; </w:t>
      </w:r>
      <w:hyperlink r:id="rId38" w:history="1">
        <w:r>
          <w:rPr>
            <w:color w:val="0000FF"/>
          </w:rPr>
          <w:t>Статья 9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3589; 2018, N 31, ст. 4860).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81. Эксплуатирующие организации заключают договоры обязательного страхования гражданской ответственности владельца гидротехнического сооружения (опасного объекта) за причинение вреда в результате аварии на опасном объекте &lt;33&gt;.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&lt;33&gt; </w:t>
      </w:r>
      <w:hyperlink r:id="rId39" w:history="1">
        <w:r>
          <w:rPr>
            <w:color w:val="0000FF"/>
          </w:rPr>
          <w:t>Статья 9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3589; 2018, N 31, ст. 4860).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82. Обязательное страхование гражданской ответственности владельца гидротехнического сооружения (опасного объекта) за причинение вреда в результате аварии на опасном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&lt;34&gt;.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&lt;34&gt; </w:t>
      </w:r>
      <w:hyperlink r:id="rId40" w:history="1">
        <w:r>
          <w:rPr>
            <w:color w:val="0000FF"/>
          </w:rPr>
          <w:t>Статья 15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3589; 2010, N 31, ст. 4195).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83. Эксплуатирующие организации при эксплуатации СГТС обеспечивают: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безопасный пропуск судов через судопропускные сооружения, выработку электрической энергии, перекачку воды, обводнение русел рек;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установленные габариты судоходных каналов, регулирование уровней воды на внутренних водных путях в бьефах выше и ниже СГТС &lt;35&gt;;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&lt;35&gt; </w:t>
      </w:r>
      <w:hyperlink r:id="rId41" w:history="1">
        <w:r>
          <w:rPr>
            <w:color w:val="0000FF"/>
          </w:rPr>
          <w:t>Статья 9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2016, N 27, ст. 4300).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техническое обслуживание сооружений и их отдельных конструкций и элементов с целью поддержания сооружения в исправном (работоспособном) состоянии без вывода из эксплуатации;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выполнение ремонтных работ по восстановлению исправности (работоспособности) сооружения и оборудования;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проведение обследований судоходного гидротехнического сооружения;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безопасность СГТС, в том числе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деятельности; разработку и уточнение критериев безопасности гидротехнического сооружения; декларирование безопасности; разработку и реализацию мер по обеспечению работоспособного и технически исправного состояния СГТС и их безопасности, а также по предотвращению аварии СГТС;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контроль (мониторинг) показателей состояния СГТС, природных и техногенных воздействий;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lastRenderedPageBreak/>
        <w:t>поддержание готовности к использованию локальных систем оповещения о чрезвычайных ситуациях на гидротехнических сооружениях.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84. Судоходные гидротехнические сооружения и их оборудование должны соответствовать проектной документации.</w:t>
      </w:r>
    </w:p>
    <w:p w:rsidR="007102D6" w:rsidRDefault="007102D6">
      <w:pPr>
        <w:pStyle w:val="ConsPlusNormal"/>
        <w:spacing w:before="220"/>
        <w:ind w:firstLine="540"/>
        <w:jc w:val="both"/>
      </w:pPr>
      <w:proofErr w:type="gramStart"/>
      <w:r>
        <w:t xml:space="preserve">Внесение в конструкцию СГТС и его оборудование изменений параметров по сравнению с установленными в проекте на строительство (реконструкцию) данного СГТС допускается по согласованию с разработчиком проектной документации и </w:t>
      </w:r>
      <w:proofErr w:type="spellStart"/>
      <w:r>
        <w:t>Росморречфлотом</w:t>
      </w:r>
      <w:proofErr w:type="spellEnd"/>
      <w:r>
        <w:t>.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r>
        <w:t>85. По каждому эксплуатируемому СГТС должна иметься техническая и эксплуатационная документация, утвержденная эксплуатирующей организацией, содержащая его проектные и фактические параметры, изменения, внесенные в конструкции и условия работы.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86. На каждом СГТС должен иметься план мероприятий, выполняемых при возникновении на сооружениях аварийных ситуаций, документация по их предотвращению и инструкции по их ликвидации.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87. Спасательные средства, противоаварийные и водоотливные устройства должны быть в исправном состоянии и находиться в состоянии готовности к действию.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88. Для обеспечения работы СГТС эксплуатирующие организации выполняют их обслуживание в течение всего срока эксплуатации СГТС (далее - техническое обслуживание).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89. При техническом обслуживании выполняются: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систематический контроль и мониторинг состояния СГТС и их оборудования;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работы по поддержанию исправности и работоспособности оборудования (механизмов). При осуществлении технического обслуживания сооружение должно находиться в рабочем состоянии и его оборудование в любое время может быть приведено в действие.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90. По результатам технического обслуживания эксплуатирующие организации определяют сооружения и их оборудование, по которым необходимо проведение ремонта.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91. Контроль и мониторинг СГТС, металлоконструкций ворот и затворов, механического оборудования и электрооборудования проводятся в обязательном порядке с определением количественных и качественных показателей состояния гидротехнических сооружений, условий их эксплуатации, соответствия этих показателей и условий критериям безопасности гидротехнических сооружений &lt;36&gt;.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&lt;36&gt;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 (Собрание законодательства Российской Федерации, 1998, N 22, ст. 2462; 2015, N 52, ст. 7603).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92. Контроль и мониторинг должны обеспечивать выявление дефектов, повреждений, износов и других отклонений от нормы в техническом состоянии сооружения, его конструкций и оборудования, которые могут повлечь за собой аварийную ситуацию.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Эксплуатирующая организация обеспечивает контроль (мониторинг) технического состояния объектов, конструкций и оборудования (аппаратуры) СГТС, природных и техногенных воздействий и на основании полученных данных осуществляет оценку безопасности СГТС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</w:t>
      </w:r>
      <w:proofErr w:type="gramEnd"/>
      <w:r>
        <w:t xml:space="preserve"> водных </w:t>
      </w:r>
      <w:proofErr w:type="gramStart"/>
      <w:r>
        <w:t>объектах</w:t>
      </w:r>
      <w:proofErr w:type="gramEnd"/>
      <w:r>
        <w:t xml:space="preserve"> и на прилегающих к ним территориях ниже и выше </w:t>
      </w:r>
      <w:r>
        <w:lastRenderedPageBreak/>
        <w:t>гидротехнического сооружения &lt;37&gt;.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bookmarkStart w:id="8" w:name="P321"/>
      <w:bookmarkEnd w:id="8"/>
      <w:r>
        <w:t xml:space="preserve">&lt;37&gt;, &lt;38&gt; </w:t>
      </w:r>
      <w:hyperlink r:id="rId43" w:history="1">
        <w:r>
          <w:rPr>
            <w:color w:val="0000FF"/>
          </w:rPr>
          <w:t>Статья 9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3589; 2018, N 31, ст. 4860).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 xml:space="preserve">94. Эксплуатирующие организации обязаны развивать системы контроля состояния гидротехнического сооружения </w:t>
      </w:r>
      <w:hyperlink w:anchor="P321" w:history="1">
        <w:r>
          <w:rPr>
            <w:color w:val="0000FF"/>
          </w:rPr>
          <w:t>&lt;38&gt;</w:t>
        </w:r>
      </w:hyperlink>
      <w:r>
        <w:t>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95. Противоаварийные устройства, водоотливные и спасательные средства должны быть исправными и постоянно находиться в состоянии готовности к действию.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96. </w:t>
      </w:r>
      <w:proofErr w:type="gramStart"/>
      <w:r>
        <w:t>Наблюдения и исследования за состоянием гидротехнических сооружений, металлоконструкций ворот и затворов, механического оборудования и электрооборудования, системы управления на базе программно-вычислительных средств, охранных систем выполняются визуально и инструментально с фиксированием данных и анализом динамики их изменения во времени, начиная с даты приемки в эксплуатацию после строительства, реконструкции и капитального ремонта, замены конструкций, оборудования.</w:t>
      </w:r>
      <w:proofErr w:type="gramEnd"/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97. </w:t>
      </w:r>
      <w:proofErr w:type="gramStart"/>
      <w:r>
        <w:t>В процессе эксплуатации эксплуатирующие организации выполняют работы по устранению дефектов, в том числе замене отдельных конструкций, а также предохранению отдельных частей сооружений и их оборудования от износов (далее - текущий ремонт), а также работы, в результате которых производится замена изношенных конструкций и деталей или замена их более прочными и экономичными, улучшающими технико-эксплуатационные качества ремонтируемых объектов, повышающими прочность и увеличивающими долговечность отдельных</w:t>
      </w:r>
      <w:proofErr w:type="gramEnd"/>
      <w:r>
        <w:t xml:space="preserve"> конструкций и сооружений в целом, за исключением полной замены основных конструкций, срок службы которых в данном объекте является наибольшим (каменные и бетонные фундаменты сооружений и зданий, все виды стен зданий и другие конструкции) (далее - капитальный ремонт).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98. Состав, объем и сроки текущего ремонта и капитального ремонта определяются по результатам контроля и мониторинга, результатам осмотров, мероприятий по охране и безопасности труда, предписаний надзорных органов, а также мероприятиями по улучшению технического состояния и обеспечению безопасности СГТС по конкретным объектам, предусмотренным государственными программами.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99. Работы по текущему ремонту выполняются в течение календарного года.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100. Работы по ремонту сооружений, оборудования и других элементов СГТС, непосредственно, связанных с пропуском судов и безопасностью судоходства, должны быть выполнены до начала навигационного периода.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101. Работы, требующие вывода основного оборудования СГТС из эксплуатации на срок не более 3 (трех) часов, проводятся в перерывах между пропуском судов.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102. Ремонт поврежденного в результате транспортных происшествий оборудования и частей сооружений, следует проводить в навигационный период. Если полное устранение повреждений, в навигационный период невозможно, то ремонт должен быть выполнен в объеме, позволяющем эксплуатировать сооружение и оборудование до конца навигации.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103. Капитальный ремонт СГТС проводится на основании проектно-сметной документации за исключением случаев ликвидации аварийного повреждения элементов сооружений, вызвавших угрозу прорыва напорного фронта, прекращение пропуска судов.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104. Работы по капитальному ремонту проводятся в течение календарного года за исключением </w:t>
      </w:r>
      <w:r>
        <w:lastRenderedPageBreak/>
        <w:t>работ на сооружениях и (или) оборудовании обеспечивающих пропуск судов.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105. Консервация и ликвидация судоходного гидротехнического сооружения осуществляются в порядке, установленном Правительством Российской Федерации &lt;39&gt;.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&lt;39&gt;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 (Собрание законодательства Российской Федерации, 2014, N 43, ст. 5916; 2018, N 10, ст. 1514).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Консервация и ликвидация гидротехнического сооружения считаются завершенными после обследования гидротехнического сооружения и территории этого гидротехнического сооружения комиссией, формируемой в порядке, установленном Правительством Российской Федерации &lt;40&gt;.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02D6" w:rsidRDefault="007102D6">
      <w:pPr>
        <w:pStyle w:val="ConsPlusNormal"/>
        <w:spacing w:before="220"/>
        <w:ind w:firstLine="540"/>
        <w:jc w:val="both"/>
      </w:pPr>
      <w:r>
        <w:t xml:space="preserve">&lt;40&gt; </w:t>
      </w:r>
      <w:hyperlink r:id="rId45" w:history="1">
        <w:r>
          <w:rPr>
            <w:color w:val="0000FF"/>
          </w:rPr>
          <w:t>Статья 12.1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3589; 2013, N 52, ст. 7010).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ind w:firstLine="540"/>
        <w:jc w:val="both"/>
      </w:pPr>
      <w:r>
        <w:t>106. Комплекс работ и мероприятий по консервации и ликвидации определяется проектной документацией и декларацией безопасности, разработанной для проведения консервации или ликвидации СГТС.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right"/>
        <w:outlineLvl w:val="1"/>
      </w:pPr>
      <w:r>
        <w:t>Приложение</w:t>
      </w:r>
    </w:p>
    <w:p w:rsidR="007102D6" w:rsidRDefault="007102D6">
      <w:pPr>
        <w:pStyle w:val="ConsPlusNormal"/>
        <w:jc w:val="right"/>
      </w:pPr>
      <w:r>
        <w:t>к Правилам содержания</w:t>
      </w:r>
    </w:p>
    <w:p w:rsidR="007102D6" w:rsidRDefault="007102D6">
      <w:pPr>
        <w:pStyle w:val="ConsPlusNormal"/>
        <w:jc w:val="right"/>
      </w:pPr>
      <w:r>
        <w:t>судовых ходов и судоходных</w:t>
      </w:r>
    </w:p>
    <w:p w:rsidR="007102D6" w:rsidRDefault="007102D6">
      <w:pPr>
        <w:pStyle w:val="ConsPlusNormal"/>
        <w:jc w:val="right"/>
      </w:pPr>
      <w:r>
        <w:t>гидротехнических сооружений</w:t>
      </w:r>
    </w:p>
    <w:p w:rsidR="007102D6" w:rsidRDefault="0023301C">
      <w:pPr>
        <w:pStyle w:val="ConsPlusNormal"/>
        <w:jc w:val="right"/>
      </w:pPr>
      <w:hyperlink w:anchor="P223" w:history="1">
        <w:r w:rsidR="007102D6">
          <w:rPr>
            <w:color w:val="0000FF"/>
          </w:rPr>
          <w:t>(п. 62)</w:t>
        </w:r>
      </w:hyperlink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right"/>
      </w:pPr>
      <w:r>
        <w:t>Рекомендуемый образец</w:t>
      </w: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center"/>
      </w:pPr>
      <w:bookmarkStart w:id="9" w:name="P356"/>
      <w:bookmarkEnd w:id="9"/>
      <w:r>
        <w:t>Состав</w:t>
      </w:r>
    </w:p>
    <w:p w:rsidR="007102D6" w:rsidRDefault="007102D6">
      <w:pPr>
        <w:pStyle w:val="ConsPlusNormal"/>
        <w:jc w:val="center"/>
      </w:pPr>
      <w:r>
        <w:t>выполняемых на внутренних водных путях изыскательских работ</w:t>
      </w:r>
    </w:p>
    <w:p w:rsidR="007102D6" w:rsidRDefault="00710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510"/>
        <w:gridCol w:w="454"/>
        <w:gridCol w:w="454"/>
        <w:gridCol w:w="510"/>
        <w:gridCol w:w="567"/>
        <w:gridCol w:w="624"/>
        <w:gridCol w:w="510"/>
      </w:tblGrid>
      <w:tr w:rsidR="007102D6">
        <w:tc>
          <w:tcPr>
            <w:tcW w:w="5386" w:type="dxa"/>
            <w:vMerge w:val="restart"/>
          </w:tcPr>
          <w:p w:rsidR="007102D6" w:rsidRDefault="007102D6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3629" w:type="dxa"/>
            <w:gridSpan w:val="7"/>
          </w:tcPr>
          <w:p w:rsidR="007102D6" w:rsidRDefault="007102D6">
            <w:pPr>
              <w:pStyle w:val="ConsPlusNormal"/>
              <w:jc w:val="center"/>
            </w:pPr>
            <w:r>
              <w:t>Категории внутренних водных путей</w:t>
            </w:r>
          </w:p>
        </w:tc>
      </w:tr>
      <w:tr w:rsidR="007102D6">
        <w:tc>
          <w:tcPr>
            <w:tcW w:w="5386" w:type="dxa"/>
            <w:vMerge/>
          </w:tcPr>
          <w:p w:rsidR="007102D6" w:rsidRDefault="007102D6">
            <w:pPr>
              <w:spacing w:after="1" w:line="0" w:lineRule="atLeast"/>
            </w:pP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7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1. Создание съемочного обоснования для выполнения русловых съемок и гидрологических изысканий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2. Обследование состояния судового хода с начала навигации для выявления наиболее затруднительных участков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3. Определение очередности проведения путевых работ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 xml:space="preserve">4. Выполнение первичных, повторных и контрольных русловых съемок, необходимых для проектирования и </w:t>
            </w:r>
            <w:r>
              <w:lastRenderedPageBreak/>
              <w:t>планирования путевых работ, определения их эффективности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11" w:type="dxa"/>
            <w:gridSpan w:val="4"/>
            <w:vAlign w:val="center"/>
          </w:tcPr>
          <w:p w:rsidR="007102D6" w:rsidRDefault="007102D6">
            <w:pPr>
              <w:pStyle w:val="ConsPlusNormal"/>
              <w:jc w:val="center"/>
            </w:pPr>
            <w:r>
              <w:t>выполнение первичных съемок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lastRenderedPageBreak/>
              <w:t xml:space="preserve">5. Трассирование дноуглубительных прорезей, вынос их в натуру, вынос в натуру проектов </w:t>
            </w:r>
            <w:proofErr w:type="spellStart"/>
            <w:r>
              <w:t>выправительных</w:t>
            </w:r>
            <w:proofErr w:type="spellEnd"/>
            <w:r>
              <w:t xml:space="preserve"> сооружений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6. Составление укрупненных планов прорезей и подсчет объемов дноуглубительных работ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нет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7. Составление карт внутренних водных путей и схем судовых ходов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8. Составление детальных планов перекатов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9. Составление альбомов планов участков внутренних водных путей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10. Наблюдения за колебаниями уровней воды с устройством временных гидрологических постов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11. Наблюдения за направлением струй и скоростями течения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12. Определение расходов воды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13. Изучение гранулометрического состава русловых наносов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  <w:tr w:rsidR="007102D6">
        <w:tc>
          <w:tcPr>
            <w:tcW w:w="5386" w:type="dxa"/>
          </w:tcPr>
          <w:p w:rsidR="007102D6" w:rsidRDefault="007102D6">
            <w:pPr>
              <w:pStyle w:val="ConsPlusNormal"/>
              <w:jc w:val="both"/>
            </w:pPr>
            <w:r>
              <w:t>14. Определение уклонов водной поверхности на участках со свободным течением воды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5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</w:tcPr>
          <w:p w:rsidR="007102D6" w:rsidRDefault="007102D6">
            <w:pPr>
              <w:pStyle w:val="ConsPlusNormal"/>
              <w:jc w:val="center"/>
            </w:pPr>
            <w:r>
              <w:t>да</w:t>
            </w:r>
          </w:p>
        </w:tc>
      </w:tr>
    </w:tbl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jc w:val="both"/>
      </w:pPr>
    </w:p>
    <w:p w:rsidR="007102D6" w:rsidRDefault="007102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797" w:rsidRDefault="000B2797"/>
    <w:sectPr w:rsidR="000B2797" w:rsidSect="007102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6"/>
    <w:rsid w:val="000B2797"/>
    <w:rsid w:val="0023301C"/>
    <w:rsid w:val="0071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A479BE41FD46689BE1B8AAA9EDA273228A2ECFED63480B44550C1CF692E4E744738BE309C4AA9AF11B80645C611DB66B5711C6E92BB0V5M" TargetMode="External"/><Relationship Id="rId13" Type="http://schemas.openxmlformats.org/officeDocument/2006/relationships/hyperlink" Target="consultantplus://offline/ref=1CA881A479BE41FD46689BE1B8AAA9EDA272238327C9ED63480B44550C1CF692F6E71C7F8AE716C7A18FA74AC6B3V0M" TargetMode="External"/><Relationship Id="rId18" Type="http://schemas.openxmlformats.org/officeDocument/2006/relationships/hyperlink" Target="consultantplus://offline/ref=1CA881A479BE41FD466898F4A1AAA9EDA3782E8C2C99BA61195E4A50044CAC82F2AE487795E30AD8A191A7B4VBM" TargetMode="External"/><Relationship Id="rId26" Type="http://schemas.openxmlformats.org/officeDocument/2006/relationships/hyperlink" Target="consultantplus://offline/ref=1CA881A479BE41FD46689BE1B8AAA9EDA27E228E22C9ED63480B44550C1CF692F6E71C7F8AE716C7A18FA74AC6B3V0M" TargetMode="External"/><Relationship Id="rId39" Type="http://schemas.openxmlformats.org/officeDocument/2006/relationships/hyperlink" Target="consultantplus://offline/ref=1CA881A479BE41FD46689BE1B8AAA9EDA2732D8220CAED63480B44550C1CF692E4E744738BE209C1A39AF11B80645C611DB66B5711C6E92BB0V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A881A479BE41FD46689BE1B8AAA9EDA97C298827C4B069405248570B13A997E3F644738EFC09C4BD93A548BCV5M" TargetMode="External"/><Relationship Id="rId34" Type="http://schemas.openxmlformats.org/officeDocument/2006/relationships/hyperlink" Target="consultantplus://offline/ref=1CA881A479BE41FD46689BE1B8AAA9EDA2732D8220CAED63480B44550C1CF692E4E744738BE209C1A39AF11B80645C611DB66B5711C6E92BB0V5M" TargetMode="External"/><Relationship Id="rId42" Type="http://schemas.openxmlformats.org/officeDocument/2006/relationships/hyperlink" Target="consultantplus://offline/ref=1CA881A479BE41FD46689BE1B8AAA9EDA0722B8322CBED63480B44550C1CF692F6E71C7F8AE716C7A18FA74AC6B3V0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CA881A479BE41FD46689BE1B8AAA9EDA273228A2ECFED63480B44550C1CF692E4E744738BE309C4AB9AF11B80645C611DB66B5711C6E92BB0V5M" TargetMode="External"/><Relationship Id="rId12" Type="http://schemas.openxmlformats.org/officeDocument/2006/relationships/hyperlink" Target="consultantplus://offline/ref=1CA881A479BE41FD46689BE1B8AAA9EDA07C298B24CCED63480B44550C1CF692E4E744738BE208C6AA9AF11B80645C611DB66B5711C6E92BB0V5M" TargetMode="External"/><Relationship Id="rId17" Type="http://schemas.openxmlformats.org/officeDocument/2006/relationships/hyperlink" Target="consultantplus://offline/ref=1CA881A479BE41FD46689BE1B8AAA9EDA2792E8D24C8ED63480B44550C1CF692F6E71C7F8AE716C7A18FA74AC6B3V0M" TargetMode="External"/><Relationship Id="rId25" Type="http://schemas.openxmlformats.org/officeDocument/2006/relationships/hyperlink" Target="consultantplus://offline/ref=1CA881A479BE41FD46689BE1B8AAA9EDA072238326CEED63480B44550C1CF692F6E71C7F8AE716C7A18FA74AC6B3V0M" TargetMode="External"/><Relationship Id="rId33" Type="http://schemas.openxmlformats.org/officeDocument/2006/relationships/hyperlink" Target="consultantplus://offline/ref=1CA881A479BE41FD46689BE1B8AAA9EDA872228C20C4B069405248570B13A997E3F644738EFC09C4BD93A548BCV5M" TargetMode="External"/><Relationship Id="rId38" Type="http://schemas.openxmlformats.org/officeDocument/2006/relationships/hyperlink" Target="consultantplus://offline/ref=1CA881A479BE41FD46689BE1B8AAA9EDA2732D8220CAED63480B44550C1CF692E4E744738BE209C1A39AF11B80645C611DB66B5711C6E92BB0V5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A881A479BE41FD46689BE1B8AAA9EDA2792E8D24C8ED63480B44550C1CF692E4E744738BE208C7A09AF11B80645C611DB66B5711C6E92BB0V5M" TargetMode="External"/><Relationship Id="rId20" Type="http://schemas.openxmlformats.org/officeDocument/2006/relationships/hyperlink" Target="consultantplus://offline/ref=1CA881A479BE41FD46689BE1B8AAA9EDA97C298827C4B069405248570B13A997E3F644738EFC09C4BD93A548BCV5M" TargetMode="External"/><Relationship Id="rId29" Type="http://schemas.openxmlformats.org/officeDocument/2006/relationships/hyperlink" Target="consultantplus://offline/ref=1CA881A479BE41FD46689BE1B8AAA9EDA27E228E22C9ED63480B44550C1CF692F6E71C7F8AE716C7A18FA74AC6B3V0M" TargetMode="External"/><Relationship Id="rId41" Type="http://schemas.openxmlformats.org/officeDocument/2006/relationships/hyperlink" Target="consultantplus://offline/ref=1CA881A479BE41FD46689BE1B8AAA9EDA273228A2ECFED63480B44550C1CF692E4E744738BE208C3AB9AF11B80645C611DB66B5711C6E92BB0V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81A479BE41FD46689BE1B8AAA9EDA57B2A832FCBED63480B44550C1CF692E4E744738BE20AC5A49AF11B80645C611DB66B5711C6E92BB0V5M" TargetMode="External"/><Relationship Id="rId11" Type="http://schemas.openxmlformats.org/officeDocument/2006/relationships/hyperlink" Target="consultantplus://offline/ref=1CA881A479BE41FD46689BE1B8AAA9EDA273228A2ECFED63480B44550C1CF692E4E744738BE309C4AB9AF11B80645C611DB66B5711C6E92BB0V5M" TargetMode="External"/><Relationship Id="rId24" Type="http://schemas.openxmlformats.org/officeDocument/2006/relationships/hyperlink" Target="consultantplus://offline/ref=1CA881A479BE41FD46689BE1B8AAA9EDA273228A2ECFED63480B44550C1CF692E4E744738BE208C7A49AF11B80645C611DB66B5711C6E92BB0V5M" TargetMode="External"/><Relationship Id="rId32" Type="http://schemas.openxmlformats.org/officeDocument/2006/relationships/hyperlink" Target="consultantplus://offline/ref=1CA881A479BE41FD46689BE1B8AAA9EDA273228A2ECFED63480B44550C1CF692E4E744738BE309C4AA9AF11B80645C611DB66B5711C6E92BB0V5M" TargetMode="External"/><Relationship Id="rId37" Type="http://schemas.openxmlformats.org/officeDocument/2006/relationships/hyperlink" Target="consultantplus://offline/ref=1CA881A479BE41FD46689BE1B8AAA9EDA2732D8220CAED63480B44550C1CF692E4E744738BE209C1A39AF11B80645C611DB66B5711C6E92BB0V5M" TargetMode="External"/><Relationship Id="rId40" Type="http://schemas.openxmlformats.org/officeDocument/2006/relationships/hyperlink" Target="consultantplus://offline/ref=1CA881A479BE41FD46689BE1B8AAA9EDA2732D8220CAED63480B44550C1CF692E4E7447483E95C97E7C4A84BC12F506206AA6A57B0VEM" TargetMode="External"/><Relationship Id="rId45" Type="http://schemas.openxmlformats.org/officeDocument/2006/relationships/hyperlink" Target="consultantplus://offline/ref=1CA881A479BE41FD46689BE1B8AAA9EDA2732D8220CAED63480B44550C1CF692E4E744738BE209CFAB9AF11B80645C611DB66B5711C6E92BB0V5M" TargetMode="External"/><Relationship Id="rId5" Type="http://schemas.openxmlformats.org/officeDocument/2006/relationships/hyperlink" Target="consultantplus://offline/ref=1CA881A479BE41FD46689BE1B8AAA9EDA273228A2ECFED63480B44550C1CF692E4E744738BE309C5A19AF11B80645C611DB66B5711C6E92BB0V5M" TargetMode="External"/><Relationship Id="rId15" Type="http://schemas.openxmlformats.org/officeDocument/2006/relationships/hyperlink" Target="consultantplus://offline/ref=1CA881A479BE41FD466898F4A1AAA9EDA3782E8C2C99BA61195E4A50044CAC82F2AE487795E30AD8A191A7B4VBM" TargetMode="External"/><Relationship Id="rId23" Type="http://schemas.openxmlformats.org/officeDocument/2006/relationships/hyperlink" Target="consultantplus://offline/ref=1CA881A479BE41FD46689BE1B8AAA9EDA57B2B8E20CEED63480B44550C1CF692E4E744738BE208C6A49AF11B80645C611DB66B5711C6E92BB0V5M" TargetMode="External"/><Relationship Id="rId28" Type="http://schemas.openxmlformats.org/officeDocument/2006/relationships/hyperlink" Target="consultantplus://offline/ref=1CA881A479BE41FD46689BE1B8AAA9EDA273228A2ECFED63480B44550C1CF692E4E7447388E40392F2D5F047C5344F611AB668550DBCV5M" TargetMode="External"/><Relationship Id="rId36" Type="http://schemas.openxmlformats.org/officeDocument/2006/relationships/hyperlink" Target="consultantplus://offline/ref=1CA881A479BE41FD46689BE1B8AAA9EDA079298224C4B069405248570B13A997E3F644738EFC09C4BD93A548BCV5M" TargetMode="External"/><Relationship Id="rId10" Type="http://schemas.openxmlformats.org/officeDocument/2006/relationships/hyperlink" Target="consultantplus://offline/ref=1CA881A479BE41FD46689BE1B8AAA9EDA273228A2ECFED63480B44550C1CF692E4E744738BE208C3A79AF11B80645C611DB66B5711C6E92BB0V5M" TargetMode="External"/><Relationship Id="rId19" Type="http://schemas.openxmlformats.org/officeDocument/2006/relationships/hyperlink" Target="consultantplus://offline/ref=1CA881A479BE41FD46689BE1B8AAA9EDA37B2C8C22CFED63480B44550C1CF692F6E71C7F8AE716C7A18FA74AC6B3V0M" TargetMode="External"/><Relationship Id="rId31" Type="http://schemas.openxmlformats.org/officeDocument/2006/relationships/hyperlink" Target="consultantplus://offline/ref=1CA881A479BE41FD46689BE1B8AAA9EDA273228A2ECFED63480B44550C1CF692E4E744738BE309C4AB9AF11B80645C611DB66B5711C6E92BB0V5M" TargetMode="External"/><Relationship Id="rId44" Type="http://schemas.openxmlformats.org/officeDocument/2006/relationships/hyperlink" Target="consultantplus://offline/ref=1CA881A479BE41FD46689BE1B8AAA9EDA372298925C9ED63480B44550C1CF692F6E71C7F8AE716C7A18FA74AC6B3V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881A479BE41FD46689BE1B8AAA9EDA27D238A2FCAED63480B44550C1CF692F6E71C7F8AE716C7A18FA74AC6B3V0M" TargetMode="External"/><Relationship Id="rId14" Type="http://schemas.openxmlformats.org/officeDocument/2006/relationships/hyperlink" Target="consultantplus://offline/ref=1CA881A479BE41FD46689BE1B8AAA9EDA272238327C9ED63480B44550C1CF692F6E71C7F8AE716C7A18FA74AC6B3V0M" TargetMode="External"/><Relationship Id="rId22" Type="http://schemas.openxmlformats.org/officeDocument/2006/relationships/hyperlink" Target="consultantplus://offline/ref=1CA881A479BE41FD46689BE1B8AAA9EDA57B2B8E20CEED63480B44550C1CF692E4E744738BE209C7A49AF11B80645C611DB66B5711C6E92BB0V5M" TargetMode="External"/><Relationship Id="rId27" Type="http://schemas.openxmlformats.org/officeDocument/2006/relationships/hyperlink" Target="consultantplus://offline/ref=1CA881A479BE41FD46689BE1B8AAA9EDA273228A2ECFED63480B44550C1CF692E4E744738BE208C7A49AF11B80645C611DB66B5711C6E92BB0V5M" TargetMode="External"/><Relationship Id="rId30" Type="http://schemas.openxmlformats.org/officeDocument/2006/relationships/hyperlink" Target="consultantplus://offline/ref=1CA881A479BE41FD46689BE1B8AAA9EDA2792E8D24C8ED63480B44550C1CF692F6E71C7F8AE716C7A18FA74AC6B3V0M" TargetMode="External"/><Relationship Id="rId35" Type="http://schemas.openxmlformats.org/officeDocument/2006/relationships/hyperlink" Target="consultantplus://offline/ref=1CA881A479BE41FD46689BE1B8AAA9EDA2732D8220CAED63480B44550C1CF692E4E744738BE208C1A79AF11B80645C611DB66B5711C6E92BB0V5M" TargetMode="External"/><Relationship Id="rId43" Type="http://schemas.openxmlformats.org/officeDocument/2006/relationships/hyperlink" Target="consultantplus://offline/ref=1CA881A479BE41FD46689BE1B8AAA9EDA2732D8220CAED63480B44550C1CF692E4E744738BE209C1A39AF11B80645C611DB66B5711C6E92BB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8298</Words>
  <Characters>47299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Николаевич</dc:creator>
  <cp:lastModifiedBy>Васильев Алексей Николаевич</cp:lastModifiedBy>
  <cp:revision>2</cp:revision>
  <dcterms:created xsi:type="dcterms:W3CDTF">2022-12-09T07:30:00Z</dcterms:created>
  <dcterms:modified xsi:type="dcterms:W3CDTF">2022-12-09T07:30:00Z</dcterms:modified>
</cp:coreProperties>
</file>